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22</w:t>
      </w:r>
    </w:p>
    <w:p>
      <w:r>
        <w:t>Bundesgericht (BGE), 1977-02-21, DE</w:t>
      </w:r>
    </w:p>
    <w:p>
      <w:r>
        <w:rPr>
          <w:b/>
        </w:rPr>
        <w:t xml:space="preserve">Quelle: </w:t>
      </w:r>
      <w:r>
        <w:t>https://mcp.opencaselaw.ch/entscheid/bge_103 IV 22</w:t>
      </w:r>
    </w:p>
    <w:p>
      <w:r>
        <w:t>FR: ATF 103 IV 22</w:t>
      </w:r>
    </w:p>
    <w:p>
      <w:r>
        <w:t>IT: DTF 103 IV 22</w:t>
      </w:r>
    </w:p>
    <w:p>
      <w:pPr>
        <w:pStyle w:val="Heading2"/>
      </w:pPr>
      <w:r>
        <w:t>Regeste</w:t>
      </w:r>
    </w:p>
    <w:p>
      <w:r>
        <w:t>Regeste Art. 173 f. StGB. Eignung zur Rufschädigung. Eine Äusserung ist schon ehrenrührig, wenn sie an sich geeignet ist, den Ruf zu schädigen, unabhängig davon, ob der Dritte die Beschuldigung oder Verdächtigung für wahr hält oder nicht.</w:t>
      </w:r>
    </w:p>
    <w:p>
      <w:pPr>
        <w:pStyle w:val="Heading2"/>
      </w:pPr>
      <w:r>
        <w:t>Erwägungen</w:t>
      </w:r>
    </w:p>
    <w:p>
      <w:r>
        <w:rPr>
          <w:b/>
        </w:rPr>
        <w:t>E. 7</w:t>
      </w:r>
    </w:p>
    <w:p>
      <w:r>
        <w:t>Die Vorinstanz brachte Art. 173 und 174 StGB deswegen nicht zur Anwendung, weil das als ehrverletzend eingeklagte Schreiben vom 27. Juni 1973 an zwei Behörden gerichtet wurde, die für den geordneten Jagdbetrieb zuständig seien, nämlich an den Gemeinderat Zumikon und an die Kantonale Jagd- und Fischereiverwaltung. Von diesen sei ohne weiteres zu erwarten gewesen, dass sie die als blosse Vermutung formulierte Beschwerde durch Aktenbeizug überprüfen, was auch geschehen sei. Die Anzeige sei daher gar nicht geeignet gewesen, den Ruf der Ankläger im Sinne von Art. 173 f. StGB zu schädigen. Es müsse dem Bürger möglich sein, von einer Behörde die Überprüfung des Verhaltens von Personen zu verlangen, die deren Aufsicht unterstehen; dies zumindest soweit, als der Behörde die Überprüfung aufgrund der ihr zur Verfügung stehenden Informationsmittel möglich sei. Wenn die Vorinstanz dem Schreiben des Beschwerdegegners die Eignung zur Rufschädigung mit der Begründung abspricht, dass die Briefempfänger in der Lage waren, die Wahrheit der Äusserung zu überprüfen und sie dies auch getan hätten, so geht die Vorinstanz von einem falschen rechtlichen Begriff der Eignung zur Rufschädigung aus. Diese Eignung ist abstrakter Natur. Massgeblich ist nicht, ob der Dritte der BGE 103 IV 22 S. 23 Beschuldigung oder Verdächtigung, so wie sie zu verstehen ist, tatsächlich Glauben schenkt oder ob wenigstens damit ernsthaft zu rechnen sei. Eine Äusserung ist im Sinne von Art. 173 f. StGB schon dann ehrenrührig, wenn sie an sich, d.h. für den Fall, dass sie geglaubt werden sollte, geeignet ist, den Ruf zu schädigen. Die üble Nachrede und die Verleumdung sind insoweit abstrakte Gefährdungsdelikte. Der Täter ist daher selbst dann strafbar, wenn der Dritte die Unwahrheit der Äusserung sofort erkennt oder wenn nach den konkreten Umständen zu erwarten ist, er werde die Unwahrheit der Äusserung sofort erkennen. Der Begriff der Eignung der Äusserung zur Rufschädigung ist kein anderer, wenn der Dritte, an den sich die Äusserung richtet, eine zuständige Behörde ist. Das Gesetz macht diese Unterscheidung nicht. Es besteht auch kein Anlass, eine ausfüllbedürftige Gesetzeslücke anzunehmen. Es ginge zu weit, Verleumdungen und üble Nachreden immer dann freizugeben, wenn sie an eine zuständige Behörde gerichtet werden, die den Sachverhalt nachprüfen kann. Zu Unrecht wurde daher der Äusserung die rufschädigende Eignung abgesprochen und damit der Tatbestand der Verleumdung, eventuell der üblen Nachrede verneint. Ebensowenig gibt es einen so weit gefassten Rechtfertigungsgrund, der es unter beliebigem Vorwand gestatten würde, einen andern bei einer Behörde, deren Aufsicht er untersteht, eines unehrenhaften Verhaltens zu bezichtigen.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